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3"/>
        <w:jc w:val="center"/>
        <w:rPr>
          <w:b/>
          <w:bCs/>
        </w:rPr>
      </w:pPr>
      <w:r>
        <w:rPr>
          <w:rFonts w:hint="default"/>
          <w:b/>
          <w:bCs/>
          <w:lang w:val="tr-TR"/>
        </w:rPr>
        <w:t xml:space="preserve">YBS </w:t>
      </w:r>
      <w:bookmarkStart w:id="0" w:name="_GoBack"/>
      <w:bookmarkEnd w:id="0"/>
      <w:r>
        <w:rPr>
          <w:b/>
          <w:bCs/>
        </w:rPr>
        <w:t>Bölüm Danışma Kurulu Üye Listesi</w:t>
      </w:r>
    </w:p>
    <w:p w14:paraId="5B19A9A1">
      <w:pPr>
        <w:pStyle w:val="13"/>
        <w:jc w:val="center"/>
        <w:rPr>
          <w:b/>
          <w:bCs/>
        </w:rPr>
      </w:pPr>
    </w:p>
    <w:tbl>
      <w:tblPr>
        <w:tblStyle w:val="12"/>
        <w:tblW w:w="5000" w:type="pct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16"/>
        <w:gridCol w:w="1542"/>
        <w:gridCol w:w="1454"/>
        <w:gridCol w:w="1436"/>
        <w:gridCol w:w="2814"/>
      </w:tblGrid>
      <w:tr w14:paraId="6E58C1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  <w:tcBorders>
              <w:bottom w:val="single" w:color="auto" w:sz="4" w:space="0"/>
            </w:tcBorders>
            <w:vAlign w:val="center"/>
          </w:tcPr>
          <w:p w14:paraId="14388E46">
            <w:pPr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Temsil</w:t>
            </w:r>
          </w:p>
        </w:tc>
        <w:tc>
          <w:tcPr>
            <w:tcW w:w="825" w:type="pct"/>
            <w:tcBorders>
              <w:bottom w:val="single" w:color="auto" w:sz="4" w:space="0"/>
            </w:tcBorders>
            <w:vAlign w:val="center"/>
          </w:tcPr>
          <w:p w14:paraId="30FD665E">
            <w:pPr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Ad-Soyad</w:t>
            </w:r>
          </w:p>
        </w:tc>
        <w:tc>
          <w:tcPr>
            <w:tcW w:w="777" w:type="pct"/>
            <w:tcBorders>
              <w:bottom w:val="single" w:color="auto" w:sz="4" w:space="0"/>
            </w:tcBorders>
            <w:vAlign w:val="center"/>
          </w:tcPr>
          <w:p w14:paraId="331C5B6A">
            <w:pPr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767" w:type="pct"/>
            <w:tcBorders>
              <w:bottom w:val="single" w:color="auto" w:sz="4" w:space="0"/>
            </w:tcBorders>
            <w:vAlign w:val="center"/>
          </w:tcPr>
          <w:p w14:paraId="1CB005A4">
            <w:pPr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Çalıştığı Kurum/Kuruluş</w:t>
            </w:r>
          </w:p>
        </w:tc>
        <w:tc>
          <w:tcPr>
            <w:tcW w:w="1511" w:type="pct"/>
            <w:tcBorders>
              <w:bottom w:val="single" w:color="auto" w:sz="4" w:space="0"/>
            </w:tcBorders>
            <w:vAlign w:val="center"/>
          </w:tcPr>
          <w:p w14:paraId="57AF56E2">
            <w:pPr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</w:p>
        </w:tc>
      </w:tr>
      <w:tr w14:paraId="59AD2A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225DA90D">
            <w:pPr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Bölüm Başkanı</w:t>
            </w:r>
          </w:p>
        </w:tc>
        <w:tc>
          <w:tcPr>
            <w:tcW w:w="825" w:type="pct"/>
          </w:tcPr>
          <w:p w14:paraId="72EF8324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Prof.Dr. Murat Türk</w:t>
            </w:r>
          </w:p>
        </w:tc>
        <w:tc>
          <w:tcPr>
            <w:tcW w:w="777" w:type="pct"/>
          </w:tcPr>
          <w:p w14:paraId="1605AF7A"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Öğretim Üyesi</w:t>
            </w:r>
          </w:p>
        </w:tc>
        <w:tc>
          <w:tcPr>
            <w:tcW w:w="767" w:type="pct"/>
          </w:tcPr>
          <w:p w14:paraId="782CD77F"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İstanbul Nişantaşı Üniversitesi</w:t>
            </w:r>
          </w:p>
          <w:p w14:paraId="5B315A45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511" w:type="pct"/>
          </w:tcPr>
          <w:p w14:paraId="4D676940">
            <w:pPr>
              <w:textAlignment w:val="baseline"/>
              <w:rPr>
                <w:sz w:val="18"/>
                <w:szCs w:val="18"/>
              </w:rPr>
            </w:pPr>
          </w:p>
        </w:tc>
      </w:tr>
      <w:tr w14:paraId="3F4567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106D9843">
            <w:pPr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Bölüm Öğretim Üyesi  </w:t>
            </w:r>
          </w:p>
        </w:tc>
        <w:tc>
          <w:tcPr>
            <w:tcW w:w="825" w:type="pct"/>
          </w:tcPr>
          <w:p w14:paraId="3F2874F1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Dr. Nesibe Manav</w:t>
            </w:r>
          </w:p>
        </w:tc>
        <w:tc>
          <w:tcPr>
            <w:tcW w:w="777" w:type="pct"/>
          </w:tcPr>
          <w:p w14:paraId="5B9D1A78"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Öğretim Üyesi</w:t>
            </w:r>
          </w:p>
        </w:tc>
        <w:tc>
          <w:tcPr>
            <w:tcW w:w="767" w:type="pct"/>
          </w:tcPr>
          <w:p w14:paraId="16947788"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İstanbul Nişantaşı Üniversitesi</w:t>
            </w:r>
          </w:p>
          <w:p w14:paraId="3BAC450B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511" w:type="pct"/>
          </w:tcPr>
          <w:p w14:paraId="29B1BAE9">
            <w:pPr>
              <w:textAlignment w:val="baseline"/>
              <w:rPr>
                <w:sz w:val="18"/>
                <w:szCs w:val="18"/>
              </w:rPr>
            </w:pPr>
          </w:p>
        </w:tc>
      </w:tr>
      <w:tr w14:paraId="5B3490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74E26900">
            <w:pPr>
              <w:textAlignment w:val="baseline"/>
              <w:rPr>
                <w:rFonts w:hint="default"/>
                <w:b/>
                <w:bCs/>
                <w:sz w:val="18"/>
                <w:szCs w:val="18"/>
                <w:lang w:val="tr-TR"/>
              </w:rPr>
            </w:pPr>
            <w:r>
              <w:rPr>
                <w:rFonts w:hint="default"/>
                <w:b/>
                <w:bCs/>
                <w:sz w:val="18"/>
                <w:szCs w:val="18"/>
                <w:lang w:val="tr-TR"/>
              </w:rPr>
              <w:t>Başka Üniversite</w:t>
            </w:r>
          </w:p>
        </w:tc>
        <w:tc>
          <w:tcPr>
            <w:tcW w:w="825" w:type="pct"/>
          </w:tcPr>
          <w:p w14:paraId="33CF637B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Prof. Dr. Ramazan Asmatülü</w:t>
            </w:r>
          </w:p>
        </w:tc>
        <w:tc>
          <w:tcPr>
            <w:tcW w:w="777" w:type="pct"/>
          </w:tcPr>
          <w:p w14:paraId="4003818C"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Öğretim Üyesi</w:t>
            </w:r>
          </w:p>
        </w:tc>
        <w:tc>
          <w:tcPr>
            <w:tcW w:w="767" w:type="pct"/>
          </w:tcPr>
          <w:p w14:paraId="71DA5CBF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University of North Texas</w:t>
            </w:r>
          </w:p>
        </w:tc>
        <w:tc>
          <w:tcPr>
            <w:tcW w:w="1511" w:type="pct"/>
          </w:tcPr>
          <w:p w14:paraId="132600A3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36468C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6D570B3F">
            <w:pPr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825" w:type="pct"/>
          </w:tcPr>
          <w:p w14:paraId="462EC015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Serdar Kahraman</w:t>
            </w:r>
          </w:p>
        </w:tc>
        <w:tc>
          <w:tcPr>
            <w:tcW w:w="777" w:type="pct"/>
          </w:tcPr>
          <w:p w14:paraId="2136BBF9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Yönetici</w:t>
            </w:r>
          </w:p>
        </w:tc>
        <w:tc>
          <w:tcPr>
            <w:tcW w:w="767" w:type="pct"/>
          </w:tcPr>
          <w:p w14:paraId="0FF63B11">
            <w:pPr>
              <w:shd w:val="clear" w:color="auto" w:fill="FFFFFF"/>
              <w:textAlignment w:val="baseline"/>
              <w:rPr>
                <w:rFonts w:hint="default"/>
                <w:color w:val="242424"/>
                <w:sz w:val="18"/>
                <w:szCs w:val="18"/>
                <w:lang w:val="tr-TR"/>
              </w:rPr>
            </w:pPr>
            <w:r>
              <w:rPr>
                <w:rFonts w:hint="default"/>
                <w:color w:val="242424"/>
                <w:sz w:val="18"/>
                <w:szCs w:val="18"/>
                <w:lang w:val="tr-TR"/>
              </w:rPr>
              <w:t>Nyssa Tourism Holdings Ltd.</w:t>
            </w:r>
          </w:p>
        </w:tc>
        <w:tc>
          <w:tcPr>
            <w:tcW w:w="1511" w:type="pct"/>
          </w:tcPr>
          <w:p w14:paraId="55D06255">
            <w:pPr>
              <w:shd w:val="clear" w:color="auto" w:fill="FFFFFF"/>
              <w:textAlignment w:val="baseline"/>
              <w:rPr>
                <w:rFonts w:hint="default"/>
                <w:color w:val="000000" w:themeColor="text1"/>
                <w:sz w:val="18"/>
                <w:szCs w:val="18"/>
                <w:lang w:val="tr-T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8B6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66558146">
            <w:pPr>
              <w:textAlignment w:val="baseline"/>
              <w:rPr>
                <w:rFonts w:hint="default"/>
                <w:b/>
                <w:bCs/>
                <w:sz w:val="18"/>
                <w:szCs w:val="18"/>
                <w:lang w:val="tr-TR"/>
              </w:rPr>
            </w:pPr>
            <w:r>
              <w:rPr>
                <w:rFonts w:hint="default"/>
                <w:b/>
                <w:bCs/>
                <w:sz w:val="18"/>
                <w:szCs w:val="18"/>
                <w:lang w:val="tr-TR"/>
              </w:rPr>
              <w:t>Kamu</w:t>
            </w:r>
          </w:p>
        </w:tc>
        <w:tc>
          <w:tcPr>
            <w:tcW w:w="825" w:type="pct"/>
          </w:tcPr>
          <w:p w14:paraId="3A97094E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Ertuğrul Çetinkaya</w:t>
            </w:r>
          </w:p>
        </w:tc>
        <w:tc>
          <w:tcPr>
            <w:tcW w:w="777" w:type="pct"/>
          </w:tcPr>
          <w:p w14:paraId="4D8E36F1">
            <w:pPr>
              <w:textAlignment w:val="baseline"/>
              <w:rPr>
                <w:rFonts w:hint="default"/>
                <w:color w:val="242424"/>
                <w:sz w:val="18"/>
                <w:szCs w:val="18"/>
                <w:lang w:val="tr-TR"/>
              </w:rPr>
            </w:pPr>
          </w:p>
        </w:tc>
        <w:tc>
          <w:tcPr>
            <w:tcW w:w="767" w:type="pct"/>
          </w:tcPr>
          <w:p w14:paraId="38217C75">
            <w:pPr>
              <w:shd w:val="clear" w:color="auto" w:fill="FFFFFF"/>
              <w:textAlignment w:val="baseline"/>
              <w:rPr>
                <w:rFonts w:hint="default"/>
                <w:color w:val="242424"/>
                <w:sz w:val="18"/>
                <w:szCs w:val="18"/>
                <w:lang w:val="tr-TR"/>
              </w:rPr>
            </w:pPr>
            <w:r>
              <w:rPr>
                <w:rFonts w:hint="default"/>
                <w:color w:val="242424"/>
                <w:sz w:val="18"/>
                <w:szCs w:val="18"/>
                <w:lang w:val="tr-TR"/>
              </w:rPr>
              <w:t>KOSGEB</w:t>
            </w:r>
          </w:p>
        </w:tc>
        <w:tc>
          <w:tcPr>
            <w:tcW w:w="1511" w:type="pct"/>
          </w:tcPr>
          <w:p w14:paraId="4E2F8FE0">
            <w:pPr>
              <w:shd w:val="clear" w:color="auto" w:fill="FFFFFF"/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4DFB0F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712BD230">
            <w:pPr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Teknopark</w:t>
            </w:r>
          </w:p>
        </w:tc>
        <w:tc>
          <w:tcPr>
            <w:tcW w:w="825" w:type="pct"/>
          </w:tcPr>
          <w:p w14:paraId="3FAC3DEE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Selçuk Çolak</w:t>
            </w:r>
          </w:p>
        </w:tc>
        <w:tc>
          <w:tcPr>
            <w:tcW w:w="777" w:type="pct"/>
          </w:tcPr>
          <w:p w14:paraId="31BE42E6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767" w:type="pct"/>
          </w:tcPr>
          <w:p w14:paraId="5717B479">
            <w:pPr>
              <w:shd w:val="clear" w:color="auto" w:fill="FFFFFF"/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Çukurova Üniversitesi Teknopark</w:t>
            </w:r>
          </w:p>
        </w:tc>
        <w:tc>
          <w:tcPr>
            <w:tcW w:w="1511" w:type="pct"/>
          </w:tcPr>
          <w:p w14:paraId="32EA04FF">
            <w:pPr>
              <w:shd w:val="clear" w:color="auto" w:fill="FFFFFF"/>
              <w:textAlignment w:val="baseline"/>
              <w:rPr>
                <w:rFonts w:hint="default"/>
                <w:color w:val="000000" w:themeColor="text1"/>
                <w:sz w:val="18"/>
                <w:szCs w:val="18"/>
                <w:lang w:val="tr-T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26D5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0D4AF8E0">
            <w:pPr>
              <w:textAlignment w:val="baseline"/>
              <w:rPr>
                <w:rFonts w:hint="default"/>
                <w:b/>
                <w:bCs/>
                <w:sz w:val="18"/>
                <w:szCs w:val="18"/>
                <w:lang w:val="tr-TR"/>
              </w:rPr>
            </w:pPr>
            <w:r>
              <w:rPr>
                <w:rFonts w:hint="default"/>
                <w:b/>
                <w:bCs/>
                <w:sz w:val="18"/>
                <w:szCs w:val="18"/>
                <w:lang w:val="tr-TR"/>
              </w:rPr>
              <w:t>Teknopark</w:t>
            </w:r>
          </w:p>
        </w:tc>
        <w:tc>
          <w:tcPr>
            <w:tcW w:w="825" w:type="pct"/>
          </w:tcPr>
          <w:p w14:paraId="038870D7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Rıfat Battaloğlu</w:t>
            </w:r>
          </w:p>
        </w:tc>
        <w:tc>
          <w:tcPr>
            <w:tcW w:w="777" w:type="pct"/>
          </w:tcPr>
          <w:p w14:paraId="74BE536D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Genel Müdür</w:t>
            </w:r>
          </w:p>
        </w:tc>
        <w:tc>
          <w:tcPr>
            <w:tcW w:w="767" w:type="pct"/>
          </w:tcPr>
          <w:p w14:paraId="2B15D400">
            <w:pPr>
              <w:shd w:val="clear" w:color="auto" w:fill="FFFFFF"/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Niğde Ömer Halis Demir Üniversitesi Teknopark</w:t>
            </w:r>
          </w:p>
        </w:tc>
        <w:tc>
          <w:tcPr>
            <w:tcW w:w="1511" w:type="pct"/>
          </w:tcPr>
          <w:p w14:paraId="5FFB0CB0">
            <w:pPr>
              <w:shd w:val="clear" w:color="auto" w:fill="FFFFFF"/>
              <w:textAlignment w:val="baseline"/>
              <w:rPr>
                <w:rFonts w:hint="default"/>
                <w:color w:val="000000" w:themeColor="text1"/>
                <w:sz w:val="18"/>
                <w:szCs w:val="18"/>
                <w:lang w:val="tr-T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8CC8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46859F9B">
            <w:pPr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Mezun</w:t>
            </w:r>
          </w:p>
        </w:tc>
        <w:tc>
          <w:tcPr>
            <w:tcW w:w="825" w:type="pct"/>
          </w:tcPr>
          <w:p w14:paraId="7C8C71AE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Eyüp Atahanlı</w:t>
            </w:r>
          </w:p>
        </w:tc>
        <w:tc>
          <w:tcPr>
            <w:tcW w:w="777" w:type="pct"/>
          </w:tcPr>
          <w:p w14:paraId="0BA5FF5E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Mezun</w:t>
            </w:r>
          </w:p>
        </w:tc>
        <w:tc>
          <w:tcPr>
            <w:tcW w:w="767" w:type="pct"/>
          </w:tcPr>
          <w:p w14:paraId="07FD3741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511" w:type="pct"/>
          </w:tcPr>
          <w:p w14:paraId="06E2B0E7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3A95D0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4CD535C8">
            <w:pPr>
              <w:textAlignment w:val="baseline"/>
              <w:rPr>
                <w:rFonts w:hint="default"/>
                <w:b/>
                <w:bCs/>
                <w:sz w:val="18"/>
                <w:szCs w:val="18"/>
                <w:lang w:val="tr-TR"/>
              </w:rPr>
            </w:pPr>
            <w:r>
              <w:rPr>
                <w:rFonts w:hint="default"/>
                <w:b/>
                <w:bCs/>
                <w:sz w:val="18"/>
                <w:szCs w:val="18"/>
                <w:lang w:val="tr-TR"/>
              </w:rPr>
              <w:t>Özel Sektör</w:t>
            </w:r>
          </w:p>
        </w:tc>
        <w:tc>
          <w:tcPr>
            <w:tcW w:w="825" w:type="pct"/>
          </w:tcPr>
          <w:p w14:paraId="4A457425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Hamza Alomari</w:t>
            </w:r>
          </w:p>
        </w:tc>
        <w:tc>
          <w:tcPr>
            <w:tcW w:w="777" w:type="pct"/>
          </w:tcPr>
          <w:p w14:paraId="1C705A89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Operasyon Müdürü</w:t>
            </w:r>
          </w:p>
        </w:tc>
        <w:tc>
          <w:tcPr>
            <w:tcW w:w="767" w:type="pct"/>
          </w:tcPr>
          <w:p w14:paraId="2E0A67BB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Alomary Holding</w:t>
            </w:r>
          </w:p>
        </w:tc>
        <w:tc>
          <w:tcPr>
            <w:tcW w:w="1511" w:type="pct"/>
          </w:tcPr>
          <w:p w14:paraId="5101ABF0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113B5C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5EFAAE62">
            <w:pPr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Öğrenci</w:t>
            </w:r>
          </w:p>
        </w:tc>
        <w:tc>
          <w:tcPr>
            <w:tcW w:w="825" w:type="pct"/>
          </w:tcPr>
          <w:p w14:paraId="3493A691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Arda Kaplan</w:t>
            </w:r>
          </w:p>
        </w:tc>
        <w:tc>
          <w:tcPr>
            <w:tcW w:w="777" w:type="pct"/>
          </w:tcPr>
          <w:p w14:paraId="44ACAB0C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Öğrenci-İç Paydaş</w:t>
            </w:r>
          </w:p>
        </w:tc>
        <w:tc>
          <w:tcPr>
            <w:tcW w:w="767" w:type="pct"/>
          </w:tcPr>
          <w:p w14:paraId="75F8F5D9"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İstanbul Nişantaşı Üniversitesi</w:t>
            </w:r>
          </w:p>
          <w:p w14:paraId="2D990F84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511" w:type="pct"/>
          </w:tcPr>
          <w:p w14:paraId="52CD2C92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74D2EC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  <w:tcBorders>
              <w:bottom w:val="single" w:color="auto" w:sz="4" w:space="0"/>
            </w:tcBorders>
          </w:tcPr>
          <w:p w14:paraId="1C851EF7">
            <w:pPr>
              <w:textAlignment w:val="baselin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Öğrenci</w:t>
            </w:r>
          </w:p>
        </w:tc>
        <w:tc>
          <w:tcPr>
            <w:tcW w:w="825" w:type="pct"/>
            <w:tcBorders>
              <w:bottom w:val="single" w:color="auto" w:sz="4" w:space="0"/>
            </w:tcBorders>
          </w:tcPr>
          <w:p w14:paraId="2192CD94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Merve Nur Ağkemik</w:t>
            </w:r>
          </w:p>
        </w:tc>
        <w:tc>
          <w:tcPr>
            <w:tcW w:w="777" w:type="pct"/>
            <w:tcBorders>
              <w:bottom w:val="single" w:color="auto" w:sz="4" w:space="0"/>
            </w:tcBorders>
          </w:tcPr>
          <w:p w14:paraId="10296E6F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Öğrenci-YL</w:t>
            </w:r>
          </w:p>
        </w:tc>
        <w:tc>
          <w:tcPr>
            <w:tcW w:w="767" w:type="pct"/>
            <w:tcBorders>
              <w:bottom w:val="single" w:color="auto" w:sz="4" w:space="0"/>
            </w:tcBorders>
          </w:tcPr>
          <w:p w14:paraId="47EC582C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  <w:r>
              <w:rPr>
                <w:rFonts w:hint="default"/>
                <w:sz w:val="18"/>
                <w:szCs w:val="18"/>
                <w:lang w:val="tr-TR"/>
              </w:rPr>
              <w:t>Osmaniye Korkut Ata Üniversitesi</w:t>
            </w:r>
          </w:p>
        </w:tc>
        <w:tc>
          <w:tcPr>
            <w:tcW w:w="1511" w:type="pct"/>
            <w:tcBorders>
              <w:bottom w:val="single" w:color="auto" w:sz="4" w:space="0"/>
            </w:tcBorders>
          </w:tcPr>
          <w:p w14:paraId="02246A4C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6B6140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  <w:tcBorders>
              <w:bottom w:val="single" w:color="auto" w:sz="4" w:space="0"/>
            </w:tcBorders>
            <w:vAlign w:val="center"/>
          </w:tcPr>
          <w:p w14:paraId="09AD7B7C">
            <w:pPr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5" w:type="pct"/>
            <w:tcBorders>
              <w:bottom w:val="single" w:color="auto" w:sz="4" w:space="0"/>
            </w:tcBorders>
            <w:vAlign w:val="center"/>
          </w:tcPr>
          <w:p w14:paraId="5F66F25A">
            <w:pPr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7" w:type="pct"/>
            <w:tcBorders>
              <w:bottom w:val="single" w:color="auto" w:sz="4" w:space="0"/>
            </w:tcBorders>
            <w:vAlign w:val="center"/>
          </w:tcPr>
          <w:p w14:paraId="0B6C4A47">
            <w:pPr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67" w:type="pct"/>
            <w:tcBorders>
              <w:bottom w:val="single" w:color="auto" w:sz="4" w:space="0"/>
            </w:tcBorders>
            <w:vAlign w:val="center"/>
          </w:tcPr>
          <w:p w14:paraId="546A48A1">
            <w:pPr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11" w:type="pct"/>
            <w:tcBorders>
              <w:bottom w:val="single" w:color="auto" w:sz="4" w:space="0"/>
            </w:tcBorders>
            <w:vAlign w:val="center"/>
          </w:tcPr>
          <w:p w14:paraId="0C71233B">
            <w:pPr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</w:p>
        </w:tc>
      </w:tr>
      <w:tr w14:paraId="754F07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0CF97B85">
            <w:pPr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5" w:type="pct"/>
          </w:tcPr>
          <w:p w14:paraId="5A0449BF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77" w:type="pct"/>
          </w:tcPr>
          <w:p w14:paraId="718E1992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767" w:type="pct"/>
          </w:tcPr>
          <w:p w14:paraId="5CACF494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511" w:type="pct"/>
          </w:tcPr>
          <w:p w14:paraId="2C668D7F">
            <w:pPr>
              <w:textAlignment w:val="baseline"/>
              <w:rPr>
                <w:sz w:val="18"/>
                <w:szCs w:val="18"/>
              </w:rPr>
            </w:pPr>
          </w:p>
        </w:tc>
      </w:tr>
      <w:tr w14:paraId="553E56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73E51BDB">
            <w:pPr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5" w:type="pct"/>
          </w:tcPr>
          <w:p w14:paraId="376A955F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77" w:type="pct"/>
          </w:tcPr>
          <w:p w14:paraId="0EF13E3F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767" w:type="pct"/>
          </w:tcPr>
          <w:p w14:paraId="568A827A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511" w:type="pct"/>
          </w:tcPr>
          <w:p w14:paraId="4A951B1F">
            <w:pPr>
              <w:textAlignment w:val="baseline"/>
              <w:rPr>
                <w:sz w:val="18"/>
                <w:szCs w:val="18"/>
              </w:rPr>
            </w:pPr>
          </w:p>
        </w:tc>
      </w:tr>
      <w:tr w14:paraId="5C61D5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42F3E9AE">
            <w:pPr>
              <w:textAlignment w:val="baseline"/>
              <w:rPr>
                <w:rFonts w:hint="default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825" w:type="pct"/>
          </w:tcPr>
          <w:p w14:paraId="37813D79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77" w:type="pct"/>
          </w:tcPr>
          <w:p w14:paraId="0C9034A4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767" w:type="pct"/>
          </w:tcPr>
          <w:p w14:paraId="31473AE8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1511" w:type="pct"/>
          </w:tcPr>
          <w:p w14:paraId="403ABB6F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2044C2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53919E3E">
            <w:pPr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5" w:type="pct"/>
          </w:tcPr>
          <w:p w14:paraId="1470A2B8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77" w:type="pct"/>
          </w:tcPr>
          <w:p w14:paraId="041F475D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67" w:type="pct"/>
          </w:tcPr>
          <w:p w14:paraId="3F016951">
            <w:pPr>
              <w:shd w:val="clear" w:color="auto" w:fill="FFFFFF"/>
              <w:textAlignment w:val="baseline"/>
              <w:rPr>
                <w:rFonts w:hint="default"/>
                <w:color w:val="242424"/>
                <w:sz w:val="18"/>
                <w:szCs w:val="18"/>
                <w:lang w:val="tr-TR"/>
              </w:rPr>
            </w:pPr>
          </w:p>
        </w:tc>
        <w:tc>
          <w:tcPr>
            <w:tcW w:w="1511" w:type="pct"/>
          </w:tcPr>
          <w:p w14:paraId="5AE50D86">
            <w:pPr>
              <w:shd w:val="clear" w:color="auto" w:fill="FFFFFF"/>
              <w:textAlignment w:val="baseline"/>
              <w:rPr>
                <w:rFonts w:hint="default"/>
                <w:color w:val="000000" w:themeColor="text1"/>
                <w:sz w:val="18"/>
                <w:szCs w:val="18"/>
                <w:lang w:val="tr-T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424C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08D508AD">
            <w:pPr>
              <w:textAlignment w:val="baseline"/>
              <w:rPr>
                <w:rFonts w:hint="default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825" w:type="pct"/>
          </w:tcPr>
          <w:p w14:paraId="6FBA7ECE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77" w:type="pct"/>
          </w:tcPr>
          <w:p w14:paraId="609F9A3F">
            <w:pPr>
              <w:textAlignment w:val="baseline"/>
              <w:rPr>
                <w:rFonts w:hint="default"/>
                <w:color w:val="242424"/>
                <w:sz w:val="18"/>
                <w:szCs w:val="18"/>
                <w:lang w:val="tr-TR"/>
              </w:rPr>
            </w:pPr>
          </w:p>
        </w:tc>
        <w:tc>
          <w:tcPr>
            <w:tcW w:w="767" w:type="pct"/>
          </w:tcPr>
          <w:p w14:paraId="65ED5500">
            <w:pPr>
              <w:shd w:val="clear" w:color="auto" w:fill="FFFFFF"/>
              <w:textAlignment w:val="baseline"/>
              <w:rPr>
                <w:rFonts w:hint="default"/>
                <w:color w:val="242424"/>
                <w:sz w:val="18"/>
                <w:szCs w:val="18"/>
                <w:lang w:val="tr-TR"/>
              </w:rPr>
            </w:pPr>
          </w:p>
        </w:tc>
        <w:tc>
          <w:tcPr>
            <w:tcW w:w="1511" w:type="pct"/>
          </w:tcPr>
          <w:p w14:paraId="1D243CEF">
            <w:pPr>
              <w:shd w:val="clear" w:color="auto" w:fill="FFFFFF"/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718BD9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146E72E4">
            <w:pPr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5" w:type="pct"/>
          </w:tcPr>
          <w:p w14:paraId="6C3A4874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777" w:type="pct"/>
          </w:tcPr>
          <w:p w14:paraId="2BB7BBE6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767" w:type="pct"/>
          </w:tcPr>
          <w:p w14:paraId="7D02671D">
            <w:pPr>
              <w:shd w:val="clear" w:color="auto" w:fill="FFFFFF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511" w:type="pct"/>
          </w:tcPr>
          <w:p w14:paraId="722787A6">
            <w:pPr>
              <w:shd w:val="clear" w:color="auto" w:fill="FFFFFF"/>
              <w:textAlignment w:val="baseline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A473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</w:tcPr>
          <w:p w14:paraId="1D138BCA">
            <w:pPr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5" w:type="pct"/>
          </w:tcPr>
          <w:p w14:paraId="1394A727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77" w:type="pct"/>
          </w:tcPr>
          <w:p w14:paraId="48DD50F1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67" w:type="pct"/>
          </w:tcPr>
          <w:p w14:paraId="6D771C38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511" w:type="pct"/>
          </w:tcPr>
          <w:p w14:paraId="539198EC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17B4DB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  <w:tcBorders/>
          </w:tcPr>
          <w:p w14:paraId="7FA2CE75">
            <w:pPr>
              <w:textAlignment w:val="baseline"/>
              <w:rPr>
                <w:rFonts w:hint="default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825" w:type="pct"/>
            <w:tcBorders/>
          </w:tcPr>
          <w:p w14:paraId="372EE538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77" w:type="pct"/>
            <w:tcBorders/>
          </w:tcPr>
          <w:p w14:paraId="50A0575A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67" w:type="pct"/>
            <w:tcBorders/>
          </w:tcPr>
          <w:p w14:paraId="49BC497F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511" w:type="pct"/>
            <w:tcBorders/>
          </w:tcPr>
          <w:p w14:paraId="3D08DD2D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0AE8DF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  <w:tcBorders/>
          </w:tcPr>
          <w:p w14:paraId="26FFE493">
            <w:pPr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5" w:type="pct"/>
            <w:tcBorders/>
          </w:tcPr>
          <w:p w14:paraId="41F0ABF3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77" w:type="pct"/>
            <w:tcBorders/>
          </w:tcPr>
          <w:p w14:paraId="49016D3B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67" w:type="pct"/>
            <w:tcBorders/>
          </w:tcPr>
          <w:p w14:paraId="37722F5E"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511" w:type="pct"/>
            <w:tcBorders/>
          </w:tcPr>
          <w:p w14:paraId="2F9BE690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  <w:tr w14:paraId="2ABD56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  <w:tblCellSpacing w:w="15" w:type="dxa"/>
        </w:trPr>
        <w:tc>
          <w:tcPr>
            <w:tcW w:w="1021" w:type="pct"/>
            <w:tcBorders>
              <w:bottom w:val="single" w:color="auto" w:sz="4" w:space="0"/>
            </w:tcBorders>
          </w:tcPr>
          <w:p w14:paraId="3870EA72">
            <w:pPr>
              <w:textAlignment w:val="baseline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5" w:type="pct"/>
            <w:tcBorders>
              <w:bottom w:val="single" w:color="auto" w:sz="4" w:space="0"/>
            </w:tcBorders>
          </w:tcPr>
          <w:p w14:paraId="3A070E64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77" w:type="pct"/>
            <w:tcBorders>
              <w:bottom w:val="single" w:color="auto" w:sz="4" w:space="0"/>
            </w:tcBorders>
          </w:tcPr>
          <w:p w14:paraId="5A347573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767" w:type="pct"/>
            <w:tcBorders>
              <w:bottom w:val="single" w:color="auto" w:sz="4" w:space="0"/>
            </w:tcBorders>
          </w:tcPr>
          <w:p w14:paraId="438B6913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  <w:tc>
          <w:tcPr>
            <w:tcW w:w="1511" w:type="pct"/>
            <w:tcBorders>
              <w:bottom w:val="single" w:color="auto" w:sz="4" w:space="0"/>
            </w:tcBorders>
          </w:tcPr>
          <w:p w14:paraId="4337D0FA">
            <w:pPr>
              <w:textAlignment w:val="baseline"/>
              <w:rPr>
                <w:rFonts w:hint="default"/>
                <w:sz w:val="18"/>
                <w:szCs w:val="18"/>
                <w:lang w:val="tr-TR"/>
              </w:rPr>
            </w:pPr>
          </w:p>
        </w:tc>
      </w:tr>
    </w:tbl>
    <w:p w14:paraId="60AAD1CE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97380"/>
    <w:rsid w:val="001C01C8"/>
    <w:rsid w:val="002853AF"/>
    <w:rsid w:val="004225E6"/>
    <w:rsid w:val="0052004D"/>
    <w:rsid w:val="005F4B22"/>
    <w:rsid w:val="00603BD2"/>
    <w:rsid w:val="00641BA1"/>
    <w:rsid w:val="00807E94"/>
    <w:rsid w:val="00AD230F"/>
    <w:rsid w:val="015D704A"/>
    <w:rsid w:val="0AA60D06"/>
    <w:rsid w:val="114E1687"/>
    <w:rsid w:val="393825F0"/>
    <w:rsid w:val="3EB31FEC"/>
    <w:rsid w:val="600C6122"/>
    <w:rsid w:val="7454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kern w:val="0"/>
      <w:sz w:val="24"/>
      <w:szCs w:val="24"/>
      <w:lang w:val="tr-TR" w:eastAsia="tr-TR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6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6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Başlık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Başlık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Konu Başlığı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Altyazı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Alıntı Ch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2">
    <w:name w:val="Güçlü Alıntı Ch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812</Characters>
  <Lines>7</Lines>
  <Paragraphs>2</Paragraphs>
  <TotalTime>0</TotalTime>
  <ScaleCrop>false</ScaleCrop>
  <LinksUpToDate>false</LinksUpToDate>
  <CharactersWithSpaces>870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2026-10-06T09:51:00Z</dcterms:created>
  <dc:creator>Ümit Deniz İlhan</dc:creator>
  <cp:lastModifiedBy>Nesibe Manav Mutlu</cp:lastModifiedBy>
  <dcterms:modified xsi:type="dcterms:W3CDTF">2026-10-20T14:39:08Z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81E7AE0DD2034B37A997D028C8135ACA_13</vt:lpwstr>
  </property>
  <property fmtid="{D5CDD505-2E9C-101B-9397-08002B2CF9AE}" pid="4" name="KSOTemplateDocerSaveRecord">
    <vt:lpwstr>eyJoZGlkIjoiZTI0N2ZkYzk1MmIyMGMxZmIxNGUxNDFkNjhiNjI4YzciLCJ1c2VySWQiOiI4ODEzNzQ1NTU1MTIyIn0=</vt:lpwstr>
  </property>
</Properties>
</file>