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3C" w:rsidRPr="004B508B" w:rsidRDefault="0063303C" w:rsidP="00B015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</w:pPr>
    </w:p>
    <w:p w:rsidR="0070033E" w:rsidRPr="004B508B" w:rsidRDefault="0070033E" w:rsidP="00B015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</w:pPr>
    </w:p>
    <w:p w:rsidR="00B015D2" w:rsidRPr="004B508B" w:rsidRDefault="00682017" w:rsidP="00B015D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val="en-US" w:eastAsia="tr-TR"/>
        </w:rPr>
      </w:pPr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2019-2020</w:t>
      </w:r>
      <w:r w:rsidR="00487427" w:rsidRPr="004B508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 xml:space="preserve"> </w:t>
      </w:r>
      <w:r w:rsidR="00566AFB" w:rsidRPr="004B508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 xml:space="preserve">ACADEMIC YEAR ERASMUS+ STAFF </w:t>
      </w:r>
      <w:r w:rsidR="000F7AB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 xml:space="preserve">(teachıng) </w:t>
      </w:r>
      <w:r w:rsidR="00566AFB" w:rsidRPr="004B508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MOBILITY APPLICATIONS</w:t>
      </w:r>
      <w:r w:rsidR="00576729" w:rsidRPr="004B508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 xml:space="preserve"> </w:t>
      </w:r>
    </w:p>
    <w:p w:rsidR="00B015D2" w:rsidRDefault="00566AF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Date of Applications</w:t>
      </w:r>
      <w:r w:rsidR="00B015D2"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:</w:t>
      </w:r>
      <w:r w:rsidR="00682017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> </w:t>
      </w:r>
      <w:r w:rsidR="000F7ABB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>March</w:t>
      </w:r>
      <w:r w:rsidR="005F5F17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 xml:space="preserve"> 03, 2020 - </w:t>
      </w:r>
      <w:r w:rsidR="000F7ABB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>March 27</w:t>
      </w:r>
      <w:r w:rsidRPr="004B508B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>,</w:t>
      </w:r>
      <w:r w:rsidR="00682017">
        <w:rPr>
          <w:rFonts w:eastAsia="Times New Roman" w:cs="Arial"/>
          <w:color w:val="000000" w:themeColor="text1"/>
          <w:bdr w:val="none" w:sz="0" w:space="0" w:color="auto" w:frame="1"/>
          <w:lang w:val="en-US" w:eastAsia="tr-TR"/>
        </w:rPr>
        <w:t xml:space="preserve"> 2020</w:t>
      </w:r>
    </w:p>
    <w:p w:rsidR="000F7ABB" w:rsidRDefault="000F7ABB" w:rsidP="000F7ABB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</w:pPr>
    </w:p>
    <w:p w:rsidR="000F7ABB" w:rsidRPr="00DD22AF" w:rsidRDefault="000F7ABB" w:rsidP="000F7ABB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FF0000"/>
          <w:bdr w:val="none" w:sz="0" w:space="0" w:color="auto" w:frame="1"/>
          <w:lang w:val="en-US" w:eastAsia="tr-TR"/>
        </w:rPr>
      </w:pPr>
      <w:r w:rsidRPr="00DD22AF"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  <w:t xml:space="preserve">There is not enough quota for the Training Mobility within the budget </w:t>
      </w:r>
      <w:r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  <w:t>for Erasmus</w:t>
      </w:r>
      <w:r w:rsidRPr="00DD22AF"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  <w:t xml:space="preserve">+ Staff Mobility. The application is </w:t>
      </w:r>
      <w:r w:rsidRPr="00DD22AF">
        <w:rPr>
          <w:rFonts w:eastAsia="Times New Roman" w:cs="Arial"/>
          <w:color w:val="FF0000"/>
          <w:sz w:val="20"/>
          <w:szCs w:val="20"/>
          <w:u w:val="single"/>
          <w:bdr w:val="none" w:sz="0" w:space="0" w:color="auto" w:frame="1"/>
          <w:lang w:val="en-US" w:eastAsia="tr-TR"/>
        </w:rPr>
        <w:t>only</w:t>
      </w:r>
      <w:r w:rsidRPr="00DD22AF"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  <w:t xml:space="preserve"> for </w:t>
      </w:r>
      <w:r w:rsidRPr="0048012E">
        <w:rPr>
          <w:rFonts w:eastAsia="Times New Roman" w:cs="Arial"/>
          <w:b/>
          <w:color w:val="FF0000"/>
          <w:sz w:val="20"/>
          <w:szCs w:val="20"/>
          <w:bdr w:val="none" w:sz="0" w:space="0" w:color="auto" w:frame="1"/>
          <w:lang w:val="en-US" w:eastAsia="tr-TR"/>
        </w:rPr>
        <w:t>Teaching Mobility</w:t>
      </w:r>
      <w:r w:rsidRPr="00DD22AF">
        <w:rPr>
          <w:rFonts w:eastAsia="Times New Roman" w:cs="Arial"/>
          <w:color w:val="FF0000"/>
          <w:sz w:val="20"/>
          <w:szCs w:val="20"/>
          <w:bdr w:val="none" w:sz="0" w:space="0" w:color="auto" w:frame="1"/>
          <w:lang w:val="en-US" w:eastAsia="tr-TR"/>
        </w:rPr>
        <w:t>.</w:t>
      </w:r>
    </w:p>
    <w:p w:rsidR="005527E6" w:rsidRPr="004B508B" w:rsidRDefault="005527E6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</w:p>
    <w:p w:rsidR="00B015D2" w:rsidRPr="004B508B" w:rsidRDefault="00B015D2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Era</w:t>
      </w:r>
      <w:r w:rsidR="00182EA8"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 xml:space="preserve">smus+ </w:t>
      </w:r>
      <w:r w:rsidR="00566AFB"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 xml:space="preserve">Staff Mobility – Teaching </w:t>
      </w:r>
      <w:r w:rsidR="00182EA8"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 xml:space="preserve"> </w:t>
      </w:r>
    </w:p>
    <w:p w:rsidR="00B015D2" w:rsidRPr="004B508B" w:rsidRDefault="00566AF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proofErr w:type="gramStart"/>
      <w:r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- Teaching staff employed by an HEI</w:t>
      </w:r>
      <w:r w:rsidR="005D4195"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(Higher Education Institution)</w:t>
      </w:r>
      <w:proofErr w:type="gramEnd"/>
      <w:r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holding an ECHE</w:t>
      </w:r>
      <w:r w:rsidR="005D4195"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(Erasmus Charter for Higher Education)</w:t>
      </w:r>
      <w:r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may undertake Erasmus+ staff mobility for teaching.</w:t>
      </w:r>
    </w:p>
    <w:p w:rsidR="00B015D2" w:rsidRPr="004B508B" w:rsidRDefault="005D4195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The teaching period </w:t>
      </w:r>
      <w:r w:rsidRPr="004B508B">
        <w:rPr>
          <w:rFonts w:eastAsia="Times New Roman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tr-TR"/>
        </w:rPr>
        <w:t>must be in a partner HEI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, which must have an ECHE and an inter-institutional agreement with the teacher’s home HEI. For teaching </w:t>
      </w:r>
      <w:proofErr w:type="spellStart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mobilities</w:t>
      </w:r>
      <w:proofErr w:type="spellEnd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, the individual must deliver </w:t>
      </w:r>
      <w:r w:rsidRPr="004B508B">
        <w:rPr>
          <w:rFonts w:eastAsia="Times New Roman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tr-TR"/>
        </w:rPr>
        <w:t>at least eight hours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of teaching per week.</w:t>
      </w:r>
    </w:p>
    <w:p w:rsidR="00B015D2" w:rsidRPr="004B508B" w:rsidRDefault="00B015D2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-  </w:t>
      </w:r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Mobility for staff teaching could take from two days to two months, excluding travel time. (The duration of the mobility is limited as 5 days </w:t>
      </w:r>
      <w:r w:rsidR="005D4195" w:rsidRPr="004B508B">
        <w:rPr>
          <w:rFonts w:eastAsia="Times New Roman" w:cs="Arial"/>
          <w:i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-from Monday to Friday-</w:t>
      </w:r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by our Institution)</w:t>
      </w:r>
    </w:p>
    <w:p w:rsidR="00763069" w:rsidRDefault="003216F9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The mobility </w:t>
      </w:r>
      <w:proofErr w:type="gramStart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will not be considered</w:t>
      </w:r>
      <w:proofErr w:type="gramEnd"/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valid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and the grant will not be paid to the staff</w:t>
      </w:r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="00763069" w:rsidRP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if the certificate of participation shows that the beneficiary performs less than 2 days of instruction and / or gives less than the required number of hours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</w:p>
    <w:p w:rsidR="000B37D8" w:rsidRPr="004B508B" w:rsidRDefault="000B37D8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Teaching Staff Mobility activity is a day-based activity and grants </w:t>
      </w:r>
      <w:proofErr w:type="gramStart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are paid</w:t>
      </w:r>
      <w:proofErr w:type="gramEnd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for each day. For that reason, the day-to-day teaching program </w:t>
      </w:r>
      <w:proofErr w:type="gramStart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should be stated</w:t>
      </w:r>
      <w:proofErr w:type="gramEnd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in the Staff Mobility Agreement.</w:t>
      </w:r>
    </w:p>
    <w:p w:rsidR="00182EA8" w:rsidRPr="00DB6211" w:rsidRDefault="00B015D2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</w:t>
      </w:r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Teaching Staff Mobility </w:t>
      </w:r>
      <w:proofErr w:type="gramStart"/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should be completed</w:t>
      </w:r>
      <w:proofErr w:type="gramEnd"/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="00682017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by</w:t>
      </w:r>
      <w:r w:rsidR="005D419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="00682017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September 30, 2020</w:t>
      </w:r>
      <w:r w:rsidR="00EC6AA9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at the latest</w:t>
      </w:r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.</w:t>
      </w:r>
      <w:r w:rsidR="00763069" w:rsidRPr="00763069">
        <w:t xml:space="preserve"> </w:t>
      </w:r>
      <w:r w:rsidR="00763069" w:rsidRP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When receiving invitation letters received from the other institution, this date should be taken into consideration.</w:t>
      </w:r>
    </w:p>
    <w:p w:rsidR="000A6788" w:rsidRPr="004B508B" w:rsidRDefault="000A6788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b/>
          <w:color w:val="000000" w:themeColor="text1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b/>
          <w:color w:val="000000" w:themeColor="text1"/>
          <w:bdr w:val="none" w:sz="0" w:space="0" w:color="auto" w:frame="1"/>
          <w:lang w:val="en-US" w:eastAsia="tr-TR"/>
        </w:rPr>
        <w:t xml:space="preserve">Selection Criteria </w:t>
      </w:r>
    </w:p>
    <w:p w:rsidR="00642DCA" w:rsidRPr="004B508B" w:rsidRDefault="000A6788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Priority is given to</w:t>
      </w:r>
      <w:r w:rsidR="00642DCA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;</w:t>
      </w:r>
    </w:p>
    <w:p w:rsidR="00642DCA" w:rsidRPr="004B508B" w:rsidRDefault="002F3326" w:rsidP="002F3326">
      <w:pPr>
        <w:pStyle w:val="ListeParagraf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S</w:t>
      </w:r>
      <w:r w:rsidR="000A6788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taff </w:t>
      </w:r>
      <w: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participating</w:t>
      </w:r>
      <w:r w:rsidR="000A6788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="00682017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in </w:t>
      </w:r>
      <w:r w:rsidR="000A6788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the Erasmus+ Staff Mobility </w:t>
      </w:r>
      <w: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for the first time,</w:t>
      </w:r>
    </w:p>
    <w:p w:rsidR="00F5782C" w:rsidRPr="004B508B" w:rsidRDefault="00F5782C" w:rsidP="00642DCA">
      <w:pPr>
        <w:pStyle w:val="ListeParagraf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The countries/universities which have not </w:t>
      </w:r>
      <w:r w:rsidR="00682017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been 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visited before,</w:t>
      </w:r>
    </w:p>
    <w:p w:rsidR="00F5782C" w:rsidRPr="004B508B" w:rsidRDefault="00F5782C" w:rsidP="00FF4EB6">
      <w:pPr>
        <w:pStyle w:val="ListeParagraf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The dis</w:t>
      </w:r>
      <w:r w:rsidR="00682017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advantaged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staff,</w:t>
      </w:r>
    </w:p>
    <w:p w:rsidR="00F5782C" w:rsidRPr="004B508B" w:rsidRDefault="00F5782C" w:rsidP="00FF4EB6">
      <w:pPr>
        <w:pStyle w:val="ListeParagraf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The veteran soldier staff and </w:t>
      </w:r>
      <w:r w:rsidR="00847DAA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veteran soldier’s wife / child</w:t>
      </w:r>
      <w:r w:rsidR="00074000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(must be certified)</w:t>
      </w:r>
    </w:p>
    <w:p w:rsidR="00BB675D" w:rsidRPr="00DB6211" w:rsidRDefault="002F3326" w:rsidP="00DB6211">
      <w:pPr>
        <w:pStyle w:val="ListeParagraf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Staff</w:t>
      </w:r>
      <w:r w:rsidRPr="002F3326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with longer working years in the institution </w:t>
      </w:r>
      <w:r w:rsidR="002E674C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(+1 point</w:t>
      </w:r>
      <w:r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f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or each year</w:t>
      </w:r>
      <w:r w:rsidR="002E674C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)</w:t>
      </w:r>
    </w:p>
    <w:p w:rsidR="00B015D2" w:rsidRPr="004B508B" w:rsidRDefault="00A8411A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Staff Mobility Grants</w:t>
      </w:r>
    </w:p>
    <w:p w:rsidR="00BB675D" w:rsidRPr="004B508B" w:rsidRDefault="00A8411A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Mobility grants for staff are provided as contributions towards subsistence and travel. The payment is available only for 5 days. </w:t>
      </w:r>
    </w:p>
    <w:p w:rsidR="00BB675D" w:rsidRPr="004B508B" w:rsidRDefault="00BB675D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182EA8" w:rsidRPr="004B508B" w:rsidTr="00E675EE">
        <w:tc>
          <w:tcPr>
            <w:tcW w:w="1980" w:type="dxa"/>
            <w:vAlign w:val="center"/>
          </w:tcPr>
          <w:p w:rsidR="00182EA8" w:rsidRPr="004B508B" w:rsidRDefault="003D3BC4" w:rsidP="001172F1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COUNTRY GROUP</w:t>
            </w:r>
          </w:p>
        </w:tc>
        <w:tc>
          <w:tcPr>
            <w:tcW w:w="5245" w:type="dxa"/>
            <w:vAlign w:val="center"/>
          </w:tcPr>
          <w:p w:rsidR="00182EA8" w:rsidRPr="004B508B" w:rsidRDefault="003D3BC4" w:rsidP="001172F1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COUNTRY</w:t>
            </w:r>
          </w:p>
        </w:tc>
        <w:tc>
          <w:tcPr>
            <w:tcW w:w="1837" w:type="dxa"/>
            <w:vAlign w:val="center"/>
          </w:tcPr>
          <w:p w:rsidR="00182EA8" w:rsidRPr="004B508B" w:rsidRDefault="003D3BC4" w:rsidP="001172F1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DAILY AMOUNT OF THE GRANT (EURO)</w:t>
            </w:r>
          </w:p>
        </w:tc>
      </w:tr>
      <w:tr w:rsidR="00182EA8" w:rsidRPr="004B508B" w:rsidTr="00E675EE">
        <w:tc>
          <w:tcPr>
            <w:tcW w:w="1980" w:type="dxa"/>
            <w:vAlign w:val="center"/>
          </w:tcPr>
          <w:p w:rsidR="00182EA8" w:rsidRPr="004B508B" w:rsidRDefault="00182EA8" w:rsidP="001172F1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>1. Gr</w:t>
            </w:r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oup </w:t>
            </w:r>
            <w:proofErr w:type="spellStart"/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>Programme</w:t>
            </w:r>
            <w:proofErr w:type="spellEnd"/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 Countries</w:t>
            </w:r>
          </w:p>
        </w:tc>
        <w:tc>
          <w:tcPr>
            <w:tcW w:w="5245" w:type="dxa"/>
            <w:vAlign w:val="center"/>
          </w:tcPr>
          <w:p w:rsidR="00182EA8" w:rsidRPr="004B508B" w:rsidRDefault="003D3BC4" w:rsidP="004B508B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Denmark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Finland, </w:t>
            </w:r>
            <w:r w:rsidR="0020479D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Iceland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Ireland, </w:t>
            </w:r>
            <w:r w:rsidR="0020479D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Liechtenstein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Luxembourg,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Norway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Sweden, </w:t>
            </w:r>
            <w:r w:rsidR="0020479D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 xml:space="preserve">United </w:t>
            </w: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Kingdom</w:t>
            </w:r>
          </w:p>
        </w:tc>
        <w:tc>
          <w:tcPr>
            <w:tcW w:w="1837" w:type="dxa"/>
            <w:vAlign w:val="center"/>
          </w:tcPr>
          <w:p w:rsidR="00182EA8" w:rsidRPr="004B508B" w:rsidRDefault="0007135D" w:rsidP="001172F1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153</w:t>
            </w:r>
          </w:p>
        </w:tc>
      </w:tr>
      <w:tr w:rsidR="00182EA8" w:rsidRPr="004B508B" w:rsidTr="00E675EE">
        <w:tc>
          <w:tcPr>
            <w:tcW w:w="1980" w:type="dxa"/>
            <w:vAlign w:val="center"/>
          </w:tcPr>
          <w:p w:rsidR="00182EA8" w:rsidRPr="004B508B" w:rsidRDefault="00E675EE" w:rsidP="003D3BC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2. Gr</w:t>
            </w:r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oup </w:t>
            </w:r>
            <w:proofErr w:type="spellStart"/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>Programme</w:t>
            </w:r>
            <w:proofErr w:type="spellEnd"/>
            <w:r w:rsidR="003D3BC4"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 Countries</w:t>
            </w:r>
          </w:p>
        </w:tc>
        <w:tc>
          <w:tcPr>
            <w:tcW w:w="5245" w:type="dxa"/>
            <w:vAlign w:val="center"/>
          </w:tcPr>
          <w:p w:rsidR="00182EA8" w:rsidRPr="004B508B" w:rsidRDefault="003D3BC4" w:rsidP="004B508B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Austria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Belgium, </w:t>
            </w:r>
            <w:r w:rsidR="004B508B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Cyprus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 France,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20479D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Germany</w:t>
            </w:r>
            <w:r w:rsidR="0020479D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Pr="000E532C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Greece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</w:t>
            </w: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Italy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</w:t>
            </w:r>
            <w:r w:rsidR="004B508B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Malta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Netherlands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Portugal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Spain</w:t>
            </w:r>
          </w:p>
        </w:tc>
        <w:tc>
          <w:tcPr>
            <w:tcW w:w="1837" w:type="dxa"/>
            <w:vAlign w:val="center"/>
          </w:tcPr>
          <w:p w:rsidR="00182EA8" w:rsidRPr="004B508B" w:rsidRDefault="00182EA8" w:rsidP="001172F1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</w:t>
            </w:r>
            <w:r w:rsidR="0007135D" w:rsidRPr="004B508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36</w:t>
            </w:r>
          </w:p>
        </w:tc>
      </w:tr>
      <w:tr w:rsidR="00182EA8" w:rsidRPr="004B508B" w:rsidTr="00E675EE">
        <w:tc>
          <w:tcPr>
            <w:tcW w:w="1980" w:type="dxa"/>
            <w:vAlign w:val="center"/>
          </w:tcPr>
          <w:p w:rsidR="00182EA8" w:rsidRPr="004B508B" w:rsidRDefault="003D3BC4" w:rsidP="001172F1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3. Group </w:t>
            </w:r>
            <w:proofErr w:type="spellStart"/>
            <w:r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>Programme</w:t>
            </w:r>
            <w:proofErr w:type="spellEnd"/>
            <w:r w:rsidRPr="004B508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tr-TR"/>
              </w:rPr>
              <w:t xml:space="preserve"> Countries</w:t>
            </w:r>
          </w:p>
        </w:tc>
        <w:tc>
          <w:tcPr>
            <w:tcW w:w="5245" w:type="dxa"/>
            <w:vAlign w:val="center"/>
          </w:tcPr>
          <w:p w:rsidR="00182EA8" w:rsidRPr="004B508B" w:rsidRDefault="0007135D" w:rsidP="004B508B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Bulgaria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Croatia,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Czech Republic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Estonia,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Hungary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3D3BC4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Macedonia, </w:t>
            </w:r>
            <w:r w:rsidR="003D3BC4"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Latvia</w:t>
            </w:r>
            <w:r w:rsidR="003D3BC4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Lithuania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Poland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,</w:t>
            </w:r>
            <w:r w:rsid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Romania,</w:t>
            </w:r>
            <w:r w:rsidR="003D3BC4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</w:t>
            </w:r>
            <w:r w:rsidR="004B508B" w:rsidRPr="000E532C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Slovakia</w:t>
            </w:r>
            <w:r w:rsidR="003D3BC4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, </w:t>
            </w:r>
            <w:r w:rsidR="004B508B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Slovenia</w:t>
            </w:r>
          </w:p>
        </w:tc>
        <w:tc>
          <w:tcPr>
            <w:tcW w:w="1837" w:type="dxa"/>
            <w:vAlign w:val="center"/>
          </w:tcPr>
          <w:p w:rsidR="00182EA8" w:rsidRPr="004B508B" w:rsidRDefault="0007135D" w:rsidP="001172F1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119</w:t>
            </w:r>
          </w:p>
        </w:tc>
      </w:tr>
    </w:tbl>
    <w:p w:rsidR="00182EA8" w:rsidRPr="004B508B" w:rsidRDefault="00182EA8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</w:p>
    <w:p w:rsidR="00B015D2" w:rsidRPr="004B508B" w:rsidRDefault="009C3245" w:rsidP="009C3245">
      <w:pPr>
        <w:shd w:val="clear" w:color="auto" w:fill="FFFFFF"/>
        <w:spacing w:after="0" w:line="338" w:lineRule="atLeast"/>
        <w:rPr>
          <w:rFonts w:eastAsia="Times New Roman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To calculate </w:t>
      </w:r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the 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distance, the HEI must use the online tool on the EC’s website: </w:t>
      </w:r>
      <w:hyperlink r:id="rId7" w:history="1">
        <w:r w:rsidR="00E675EE" w:rsidRPr="004B508B">
          <w:rPr>
            <w:rStyle w:val="Kpr"/>
            <w:sz w:val="20"/>
            <w:szCs w:val="20"/>
            <w:lang w:val="en-US"/>
          </w:rPr>
          <w:t>http://ec.europa.eu/programmes/erasmus-plus/tools/distance_en.htm</w:t>
        </w:r>
      </w:hyperlink>
      <w:r w:rsidR="00E675EE" w:rsidRPr="004B508B">
        <w:rPr>
          <w:color w:val="000000" w:themeColor="text1"/>
          <w:sz w:val="20"/>
          <w:szCs w:val="20"/>
          <w:lang w:val="en-US"/>
        </w:rPr>
        <w:t xml:space="preserve">   </w:t>
      </w:r>
      <w:r w:rsidR="00E675EE" w:rsidRPr="004B508B">
        <w:rPr>
          <w:rFonts w:eastAsia="Times New Roman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tr-TR"/>
        </w:rPr>
        <w:t xml:space="preserve"> </w:t>
      </w:r>
    </w:p>
    <w:p w:rsidR="00AC551D" w:rsidRPr="004B508B" w:rsidRDefault="00AC551D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245" w:rsidRPr="004B508B" w:rsidTr="00B74656"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DISTANCE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TRAVEL FEE</w:t>
            </w:r>
          </w:p>
        </w:tc>
      </w:tr>
      <w:tr w:rsidR="009C3245" w:rsidRPr="004B508B" w:rsidTr="00B74656">
        <w:trPr>
          <w:trHeight w:val="231"/>
        </w:trPr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10 to 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20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rPr>
          <w:trHeight w:val="306"/>
        </w:trPr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100 to 499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180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500 to 1999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275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rPr>
          <w:trHeight w:val="286"/>
        </w:trPr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2000 to 2999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360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rPr>
          <w:trHeight w:val="276"/>
        </w:trPr>
        <w:tc>
          <w:tcPr>
            <w:tcW w:w="4531" w:type="dxa"/>
          </w:tcPr>
          <w:p w:rsidR="009C3245" w:rsidRPr="004B508B" w:rsidRDefault="009C3245" w:rsidP="009C3245">
            <w:pPr>
              <w:tabs>
                <w:tab w:val="left" w:pos="3390"/>
              </w:tabs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3000 to 3999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530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rPr>
          <w:trHeight w:val="266"/>
        </w:trPr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4000 to 7999 KM</w:t>
            </w:r>
          </w:p>
        </w:tc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820 EUR</w:t>
            </w: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  <w:tr w:rsidR="009C3245" w:rsidRPr="004B508B" w:rsidTr="00B74656">
        <w:trPr>
          <w:trHeight w:val="284"/>
        </w:trPr>
        <w:tc>
          <w:tcPr>
            <w:tcW w:w="4531" w:type="dxa"/>
          </w:tcPr>
          <w:p w:rsidR="009C3245" w:rsidRPr="004B508B" w:rsidRDefault="009C3245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>For travel distances between 8000 to more KM</w:t>
            </w:r>
          </w:p>
        </w:tc>
        <w:tc>
          <w:tcPr>
            <w:tcW w:w="4531" w:type="dxa"/>
          </w:tcPr>
          <w:p w:rsidR="009C3245" w:rsidRPr="004B508B" w:rsidRDefault="000E532C" w:rsidP="009C3245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15</w:t>
            </w:r>
            <w:r w:rsidR="009C3245" w:rsidRPr="004B508B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val="en-US" w:eastAsia="tr-TR"/>
              </w:rPr>
              <w:t>00 EUR</w:t>
            </w:r>
            <w:r w:rsidR="009C3245" w:rsidRPr="004B508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tr-TR"/>
              </w:rPr>
              <w:t xml:space="preserve"> per participant</w:t>
            </w:r>
          </w:p>
        </w:tc>
      </w:tr>
    </w:tbl>
    <w:p w:rsidR="00AC551D" w:rsidRPr="004B508B" w:rsidRDefault="00AC551D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p w:rsidR="009C3245" w:rsidRPr="004B508B" w:rsidRDefault="00AC551D" w:rsidP="009C3245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</w:t>
      </w:r>
      <w:r w:rsidR="009C324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The distance to be calculated is one way - from the location of the sending organization to that of the receiving organization. The grant covers the outward and return journey.</w:t>
      </w:r>
    </w:p>
    <w:p w:rsidR="00B015D2" w:rsidRPr="004B508B" w:rsidRDefault="00B015D2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</w:t>
      </w:r>
      <w:r w:rsidR="009C324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Erasmus+ Mobility grant is paid in two partial payment.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="009C324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First payment </w:t>
      </w:r>
      <w:r w:rsidR="009C3245" w:rsidRPr="004B508B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(80%)</w:t>
      </w:r>
      <w:r w:rsidR="009C324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is paid before the mobility and the second payment</w:t>
      </w:r>
      <w:r w:rsidR="00C1616E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="00C1616E" w:rsidRPr="004B508B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(20%)</w:t>
      </w:r>
      <w:r w:rsidR="009C3245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is paid </w:t>
      </w:r>
      <w:r w:rsidR="00C1616E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after the mobility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. </w:t>
      </w:r>
      <w:r w:rsidR="00C1616E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‘Confirmation of Stay’, ‘Boarding Pass’ and the ‘Final Report’ documents must be submitted to the International Office to receive second payment. Zero grant staff may undertake Erasmus+ study mobility, at the discretion of HEI however, these staff must fulfil all Erasmus+ criteria.</w:t>
      </w:r>
    </w:p>
    <w:p w:rsidR="00B015D2" w:rsidRPr="004B508B" w:rsidRDefault="00B015D2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- </w:t>
      </w:r>
      <w:r w:rsidR="009B59DA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The number of participant is limited with the quotas and the budget allocated by the National Agency.</w:t>
      </w:r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Estimated numbers are; 9</w:t>
      </w:r>
      <w:r w:rsidR="005D1DA3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staf</w:t>
      </w:r>
      <w:r w:rsidR="007630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f for Teaching Staff Mobility, 6</w:t>
      </w:r>
      <w:r w:rsidR="005D1DA3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staff for Training Mobility.</w:t>
      </w:r>
    </w:p>
    <w:p w:rsidR="00D739AF" w:rsidRPr="00DB6211" w:rsidRDefault="00B015D2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- </w:t>
      </w:r>
      <w:r w:rsidR="009B59DA"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At the end of the application period, the beneficiary list will be announced in the announcements section of the official website.</w:t>
      </w:r>
    </w:p>
    <w:p w:rsidR="00B015D2" w:rsidRPr="004B508B" w:rsidRDefault="00FB20F7" w:rsidP="00B015D2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Necessary Documents for Application</w:t>
      </w:r>
      <w:r w:rsidR="00B015D2" w:rsidRPr="004B508B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US" w:eastAsia="tr-TR"/>
        </w:rPr>
        <w:t>:</w:t>
      </w:r>
    </w:p>
    <w:p w:rsidR="00B015D2" w:rsidRPr="004B508B" w:rsidRDefault="00B015D2" w:rsidP="00AC551D">
      <w:pPr>
        <w:pStyle w:val="ListeParagraf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  <w:r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Application Form 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(</w:t>
      </w:r>
      <w:r w:rsidR="00FB20F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The document must be filled on computer and submitted to the International Office after getting approval from Faculty or Departmental Units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)</w:t>
      </w:r>
    </w:p>
    <w:p w:rsidR="00B015D2" w:rsidRPr="004B508B" w:rsidRDefault="00B015D2" w:rsidP="00C52E77">
      <w:pPr>
        <w:pStyle w:val="ListeParagraf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  <w:r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Staff Mobility for Teaching Mobility Agreement 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(</w:t>
      </w:r>
      <w:r w:rsidR="00FB20F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The document which contains work plan</w:t>
      </w:r>
      <w:r w:rsidR="002E7DD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of the Mobility</w:t>
      </w:r>
      <w:r w:rsidR="00FB20F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must be approved both Host I</w:t>
      </w:r>
      <w:r w:rsidR="002E7DD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nstitution and Home Institution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)</w:t>
      </w:r>
    </w:p>
    <w:p w:rsidR="00B015D2" w:rsidRPr="004B508B" w:rsidRDefault="00B015D2" w:rsidP="00487427">
      <w:pPr>
        <w:pStyle w:val="ListeParagraf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  <w:r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Letter of Invitation 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(</w:t>
      </w:r>
      <w:r w:rsidR="002E7DD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The document must be printed on letterhead and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="002E7DD7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type of the Mobility, date of the Mobility should be mentioned on it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)</w:t>
      </w:r>
    </w:p>
    <w:p w:rsidR="000E532C" w:rsidRPr="000E532C" w:rsidRDefault="00B015D2" w:rsidP="000E532C">
      <w:pPr>
        <w:pStyle w:val="ListeParagraf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  <w:r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Certificate</w:t>
      </w:r>
      <w:r w:rsidR="002E7DD7"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of Proficiency in English</w:t>
      </w:r>
      <w:r w:rsidRPr="004B508B">
        <w:rPr>
          <w:rFonts w:asciiTheme="minorHAnsi" w:hAnsiTheme="minorHAnsi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(</w:t>
      </w:r>
      <w:r w:rsidR="0063303C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Required only</w:t>
      </w:r>
      <w:r w:rsidR="00EE4C02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="00B03FD3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applicant</w:t>
      </w:r>
      <w:r w:rsidR="0063303C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s who </w:t>
      </w:r>
      <w:r w:rsidR="000E532C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applying for</w:t>
      </w:r>
      <w:r w:rsidR="00B03FD3"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Teaching Mobility activity</w:t>
      </w:r>
      <w:r w:rsidRPr="004B508B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en-US"/>
        </w:rPr>
        <w:t>)</w:t>
      </w:r>
    </w:p>
    <w:p w:rsidR="000E532C" w:rsidRPr="000E532C" w:rsidRDefault="000E532C" w:rsidP="000E532C">
      <w:pPr>
        <w:shd w:val="clear" w:color="auto" w:fill="FFFFFF"/>
        <w:spacing w:after="0" w:line="345" w:lineRule="atLeast"/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p w:rsidR="000E532C" w:rsidRPr="004B508B" w:rsidRDefault="000E532C" w:rsidP="000E532C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For </w:t>
      </w:r>
      <w:r w:rsidRPr="004B508B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Application Form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please </w: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begin"/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instrText xml:space="preserve"> HYPERLINK "https://www.nisantasi.edu.tr/dosyalar/international-file/2019-2020/basvuru_formu_icin_tiklayiniz_1.docx" </w:instrTex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separate"/>
      </w:r>
      <w:r w:rsidRPr="00DA0471">
        <w:rPr>
          <w:rStyle w:val="Kpr"/>
          <w:rFonts w:eastAsia="Times New Roman" w:cs="Arial"/>
          <w:b/>
          <w:sz w:val="20"/>
          <w:szCs w:val="20"/>
          <w:highlight w:val="yellow"/>
          <w:bdr w:val="none" w:sz="0" w:space="0" w:color="auto" w:frame="1"/>
          <w:lang w:val="en-US" w:eastAsia="tr-TR"/>
        </w:rPr>
        <w:t>CLICK HERE</w: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end"/>
      </w:r>
    </w:p>
    <w:p w:rsidR="000E532C" w:rsidRPr="004B508B" w:rsidRDefault="000E532C" w:rsidP="000E532C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For</w:t>
      </w:r>
      <w:r w:rsidRPr="004B508B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  <w:r w:rsidRPr="004B508B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Staff Mobility for </w:t>
      </w:r>
      <w:proofErr w:type="gramStart"/>
      <w:r w:rsidRPr="004B508B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Teaching</w:t>
      </w:r>
      <w:proofErr w:type="gramEnd"/>
      <w:r w:rsidRPr="004B508B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document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please </w: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begin"/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instrText xml:space="preserve"> HYPERLINK "https://www.nisantasi.edu.tr/dosyalar/international-file/2019-2020/ders_verme_hareketliligi_staff_mobility_for_teaching_formu_icin__tikla.._.docx" </w:instrTex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separate"/>
      </w:r>
      <w:r w:rsidRPr="00DA0471">
        <w:rPr>
          <w:rStyle w:val="Kpr"/>
          <w:rFonts w:eastAsia="Times New Roman" w:cs="Arial"/>
          <w:b/>
          <w:sz w:val="20"/>
          <w:szCs w:val="20"/>
          <w:highlight w:val="yellow"/>
          <w:bdr w:val="none" w:sz="0" w:space="0" w:color="auto" w:frame="1"/>
          <w:lang w:val="en-US" w:eastAsia="tr-TR"/>
        </w:rPr>
        <w:t>CLICK HERE</w:t>
      </w:r>
      <w:r w:rsidR="00DA0471">
        <w:rPr>
          <w:rFonts w:eastAsia="Times New Roman" w:cs="Arial"/>
          <w:b/>
          <w:color w:val="000000" w:themeColor="text1"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end"/>
      </w:r>
    </w:p>
    <w:p w:rsidR="000E532C" w:rsidRPr="000C7300" w:rsidRDefault="000E532C" w:rsidP="000C7300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For</w:t>
      </w:r>
      <w:r w:rsidRPr="004B508B">
        <w:rPr>
          <w:rFonts w:eastAsia="Times New Roman" w:cs="Arial"/>
          <w:b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the List of Bilateral Agreements </w:t>
      </w: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please </w:t>
      </w:r>
      <w:r w:rsidR="00DA0471">
        <w:rPr>
          <w:rFonts w:eastAsia="Times New Roman" w:cs="Arial"/>
          <w:b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begin"/>
      </w:r>
      <w:r w:rsidR="00DA0471">
        <w:rPr>
          <w:rFonts w:eastAsia="Times New Roman" w:cs="Arial"/>
          <w:b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instrText xml:space="preserve"> HYPERLINK "https://www.nisantasi.edu.tr/dosyalar/international-file/2019-2020/partner_universite_listesi_icin_tiklayiniz.pdf" </w:instrText>
      </w:r>
      <w:r w:rsidR="00DA0471">
        <w:rPr>
          <w:rFonts w:eastAsia="Times New Roman" w:cs="Arial"/>
          <w:b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</w:r>
      <w:r w:rsidR="00DA0471">
        <w:rPr>
          <w:rFonts w:eastAsia="Times New Roman" w:cs="Arial"/>
          <w:b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separate"/>
      </w:r>
      <w:r w:rsidRPr="00DA0471">
        <w:rPr>
          <w:rStyle w:val="Kpr"/>
          <w:rFonts w:eastAsia="Times New Roman" w:cs="Arial"/>
          <w:b/>
          <w:sz w:val="20"/>
          <w:szCs w:val="20"/>
          <w:highlight w:val="yellow"/>
          <w:bdr w:val="none" w:sz="0" w:space="0" w:color="auto" w:frame="1"/>
          <w:lang w:val="en-US" w:eastAsia="tr-TR"/>
        </w:rPr>
        <w:t>CLICK HERE</w:t>
      </w:r>
      <w:r w:rsidR="00DA0471">
        <w:rPr>
          <w:rFonts w:eastAsia="Times New Roman" w:cs="Arial"/>
          <w:b/>
          <w:sz w:val="20"/>
          <w:szCs w:val="20"/>
          <w:highlight w:val="yellow"/>
          <w:u w:val="single"/>
          <w:bdr w:val="none" w:sz="0" w:space="0" w:color="auto" w:frame="1"/>
          <w:lang w:val="en-US" w:eastAsia="tr-TR"/>
        </w:rPr>
        <w:fldChar w:fldCharType="end"/>
      </w:r>
      <w:bookmarkStart w:id="0" w:name="_GoBack"/>
      <w:bookmarkEnd w:id="0"/>
    </w:p>
    <w:p w:rsidR="000F7ABB" w:rsidRDefault="000F7AB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p w:rsidR="000F7ABB" w:rsidRDefault="000F7AB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p w:rsidR="000F7ABB" w:rsidRDefault="000F7AB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p w:rsidR="000F7ABB" w:rsidRDefault="000F7ABB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p w:rsidR="00763069" w:rsidRDefault="00390666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IMPORTANT:</w:t>
      </w:r>
      <w:r w:rsidRPr="004B508B">
        <w:rPr>
          <w:rFonts w:eastAsia="Times New Roman" w:cs="Arial"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</w:p>
    <w:p w:rsidR="00B015D2" w:rsidRPr="00763069" w:rsidRDefault="00390666" w:rsidP="00763069">
      <w:pPr>
        <w:pStyle w:val="ListeParagraf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The deadline for submitting document: </w:t>
      </w:r>
      <w:r w:rsidR="000F7ABB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April 03</w:t>
      </w:r>
      <w:r w:rsidR="00DB6211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, 2020</w:t>
      </w:r>
      <w:r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. </w:t>
      </w:r>
      <w:r w:rsidR="000E532C"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If the application </w:t>
      </w:r>
      <w:r w:rsidR="00DB6211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form </w:t>
      </w:r>
      <w:r w:rsidR="000E532C"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is in</w:t>
      </w:r>
      <w:r w:rsidR="00DB6211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complete (e.g. </w:t>
      </w:r>
      <w:r w:rsidR="00DB6211"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m</w:t>
      </w:r>
      <w:r w:rsidR="00DB6211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issing any mandatory documents) and/or submitted after deadline, </w:t>
      </w:r>
      <w:r w:rsidR="000E532C"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your application </w:t>
      </w:r>
      <w:r w:rsidR="00DB6211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shall</w:t>
      </w:r>
      <w:r w:rsidR="000E532C" w:rsidRPr="00763069">
        <w:rPr>
          <w:rFonts w:cs="Arial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not be considered.</w:t>
      </w:r>
    </w:p>
    <w:p w:rsidR="002C4993" w:rsidRPr="00763069" w:rsidRDefault="002C4993" w:rsidP="00763069">
      <w:pPr>
        <w:pStyle w:val="ListeParagraf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763069">
        <w:rPr>
          <w:rFonts w:cs="Arial"/>
          <w:color w:val="000000" w:themeColor="text1"/>
          <w:sz w:val="20"/>
          <w:szCs w:val="20"/>
          <w:bdr w:val="none" w:sz="0" w:space="0" w:color="auto" w:frame="1"/>
          <w:lang w:val="en-US"/>
        </w:rPr>
        <w:t>In order to submit application documents or to get more information you can visit International Office at the day and time given below;</w:t>
      </w:r>
    </w:p>
    <w:p w:rsidR="002C4993" w:rsidRDefault="002C4993" w:rsidP="0095571A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8"/>
        <w:gridCol w:w="2202"/>
        <w:gridCol w:w="2003"/>
        <w:gridCol w:w="1909"/>
      </w:tblGrid>
      <w:tr w:rsidR="002C4993" w:rsidRPr="0067174E" w:rsidTr="00116C8C">
        <w:trPr>
          <w:trHeight w:val="551"/>
        </w:trPr>
        <w:tc>
          <w:tcPr>
            <w:tcW w:w="2948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DAYS</w:t>
            </w:r>
          </w:p>
        </w:tc>
        <w:tc>
          <w:tcPr>
            <w:tcW w:w="6114" w:type="dxa"/>
            <w:gridSpan w:val="3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HOURS</w:t>
            </w:r>
          </w:p>
        </w:tc>
      </w:tr>
      <w:tr w:rsidR="002C4993" w:rsidRPr="0067174E" w:rsidTr="00116C8C">
        <w:trPr>
          <w:trHeight w:val="330"/>
        </w:trPr>
        <w:tc>
          <w:tcPr>
            <w:tcW w:w="2948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both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202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MORNING</w:t>
            </w:r>
          </w:p>
        </w:tc>
        <w:tc>
          <w:tcPr>
            <w:tcW w:w="3912" w:type="dxa"/>
            <w:gridSpan w:val="2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AFTERNOON</w:t>
            </w:r>
          </w:p>
        </w:tc>
      </w:tr>
      <w:tr w:rsidR="002C4993" w:rsidRPr="0067174E" w:rsidTr="00116C8C">
        <w:trPr>
          <w:trHeight w:val="426"/>
        </w:trPr>
        <w:tc>
          <w:tcPr>
            <w:tcW w:w="2948" w:type="dxa"/>
            <w:vAlign w:val="center"/>
          </w:tcPr>
          <w:p w:rsidR="002C4993" w:rsidRPr="0067174E" w:rsidRDefault="000F7ABB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MONDAY</w:t>
            </w:r>
          </w:p>
        </w:tc>
        <w:tc>
          <w:tcPr>
            <w:tcW w:w="2202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09:00 - 10:00</w:t>
            </w:r>
          </w:p>
        </w:tc>
        <w:tc>
          <w:tcPr>
            <w:tcW w:w="2003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14:00 - 15:00</w:t>
            </w:r>
          </w:p>
        </w:tc>
        <w:tc>
          <w:tcPr>
            <w:tcW w:w="1909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16:00 - 17:00</w:t>
            </w:r>
          </w:p>
        </w:tc>
      </w:tr>
      <w:tr w:rsidR="002C4993" w:rsidRPr="0067174E" w:rsidTr="00116C8C">
        <w:trPr>
          <w:trHeight w:val="390"/>
        </w:trPr>
        <w:tc>
          <w:tcPr>
            <w:tcW w:w="2948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WEDNESDAY</w:t>
            </w:r>
          </w:p>
        </w:tc>
        <w:tc>
          <w:tcPr>
            <w:tcW w:w="2202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09:00 - 10:00</w:t>
            </w:r>
          </w:p>
        </w:tc>
        <w:tc>
          <w:tcPr>
            <w:tcW w:w="2003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14:00 - 15:00</w:t>
            </w:r>
          </w:p>
        </w:tc>
        <w:tc>
          <w:tcPr>
            <w:tcW w:w="1909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16:00 - 17:00</w:t>
            </w:r>
          </w:p>
        </w:tc>
      </w:tr>
      <w:tr w:rsidR="002C4993" w:rsidRPr="0067174E" w:rsidTr="00116C8C">
        <w:trPr>
          <w:trHeight w:val="437"/>
        </w:trPr>
        <w:tc>
          <w:tcPr>
            <w:tcW w:w="2948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THURSDAY</w:t>
            </w:r>
          </w:p>
        </w:tc>
        <w:tc>
          <w:tcPr>
            <w:tcW w:w="2202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09:00 - 10:00</w:t>
            </w:r>
          </w:p>
        </w:tc>
        <w:tc>
          <w:tcPr>
            <w:tcW w:w="2003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14:00 - 15:00</w:t>
            </w:r>
          </w:p>
        </w:tc>
        <w:tc>
          <w:tcPr>
            <w:tcW w:w="1909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16:00 - 17:00</w:t>
            </w:r>
          </w:p>
        </w:tc>
      </w:tr>
      <w:tr w:rsidR="002C4993" w:rsidRPr="0067174E" w:rsidTr="00116C8C">
        <w:trPr>
          <w:trHeight w:val="416"/>
        </w:trPr>
        <w:tc>
          <w:tcPr>
            <w:tcW w:w="2948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FRIDAY</w:t>
            </w:r>
          </w:p>
        </w:tc>
        <w:tc>
          <w:tcPr>
            <w:tcW w:w="2202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09:00 - 10:00</w:t>
            </w:r>
          </w:p>
        </w:tc>
        <w:tc>
          <w:tcPr>
            <w:tcW w:w="2003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14:00 - 15:00</w:t>
            </w:r>
          </w:p>
        </w:tc>
        <w:tc>
          <w:tcPr>
            <w:tcW w:w="1909" w:type="dxa"/>
            <w:vAlign w:val="center"/>
          </w:tcPr>
          <w:p w:rsidR="002C4993" w:rsidRPr="0067174E" w:rsidRDefault="002C4993" w:rsidP="002949A2">
            <w:pPr>
              <w:shd w:val="clear" w:color="auto" w:fill="FFFFFF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7174E">
              <w:rPr>
                <w:rFonts w:eastAsia="Times New Roman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16:00 - 17:00</w:t>
            </w:r>
          </w:p>
        </w:tc>
      </w:tr>
    </w:tbl>
    <w:p w:rsidR="0095571A" w:rsidRPr="004B508B" w:rsidRDefault="002C4993" w:rsidP="0095571A">
      <w:pPr>
        <w:shd w:val="clear" w:color="auto" w:fill="FFFFFF"/>
        <w:spacing w:after="0" w:line="338" w:lineRule="atLeast"/>
        <w:jc w:val="both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</w:pPr>
      <w:r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</w:t>
      </w:r>
    </w:p>
    <w:p w:rsidR="00B015D2" w:rsidRPr="004B508B" w:rsidRDefault="00390666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For more </w:t>
      </w:r>
      <w:proofErr w:type="gramStart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details</w:t>
      </w:r>
      <w:proofErr w:type="gramEnd"/>
      <w:r w:rsidRPr="004B508B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 xml:space="preserve"> please contact with </w:t>
      </w:r>
      <w:r w:rsidR="000C7300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Lect. Sercan KARKA</w:t>
      </w:r>
    </w:p>
    <w:p w:rsidR="00B015D2" w:rsidRDefault="00B015D2" w:rsidP="00B015D2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4B508B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tr-TR"/>
        </w:rPr>
        <w:t>E-mail:</w:t>
      </w:r>
      <w:r w:rsidRPr="004B508B">
        <w:rPr>
          <w:rFonts w:eastAsia="Times New Roman" w:cs="Arial"/>
          <w:color w:val="000000" w:themeColor="text1"/>
          <w:sz w:val="20"/>
          <w:szCs w:val="20"/>
          <w:lang w:val="en-US" w:eastAsia="tr-TR"/>
        </w:rPr>
        <w:t> </w:t>
      </w:r>
      <w:hyperlink r:id="rId8" w:history="1">
        <w:r w:rsidR="00763069" w:rsidRPr="002F0E20">
          <w:rPr>
            <w:rStyle w:val="Kpr"/>
            <w:rFonts w:eastAsia="Times New Roman" w:cs="Arial"/>
            <w:sz w:val="20"/>
            <w:szCs w:val="20"/>
            <w:bdr w:val="none" w:sz="0" w:space="0" w:color="auto" w:frame="1"/>
            <w:lang w:val="en-US" w:eastAsia="tr-TR"/>
          </w:rPr>
          <w:t>sercan.karka@nisantasi.edu.tr</w:t>
        </w:r>
      </w:hyperlink>
      <w:r w:rsidR="00487427" w:rsidRPr="004B508B">
        <w:rPr>
          <w:rFonts w:eastAsia="Times New Roman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tr-TR"/>
        </w:rPr>
        <w:t xml:space="preserve"> </w:t>
      </w:r>
      <w:r w:rsidR="00487427" w:rsidRPr="004B508B">
        <w:rPr>
          <w:rFonts w:eastAsia="Times New Roman" w:cs="Arial"/>
          <w:color w:val="000000" w:themeColor="text1"/>
          <w:sz w:val="20"/>
          <w:szCs w:val="20"/>
          <w:lang w:val="en-US" w:eastAsia="tr-TR"/>
        </w:rPr>
        <w:t xml:space="preserve"> </w:t>
      </w:r>
    </w:p>
    <w:p w:rsidR="00642C87" w:rsidRPr="007E68E8" w:rsidRDefault="002C4993" w:rsidP="007E68E8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 w:themeColor="text1"/>
          <w:sz w:val="20"/>
          <w:szCs w:val="20"/>
          <w:lang w:val="en-US" w:eastAsia="tr-TR"/>
        </w:rPr>
      </w:pPr>
      <w:r w:rsidRPr="002C4993">
        <w:rPr>
          <w:rFonts w:eastAsia="Times New Roman" w:cs="Arial"/>
          <w:b/>
          <w:color w:val="000000" w:themeColor="text1"/>
          <w:sz w:val="20"/>
          <w:szCs w:val="20"/>
          <w:lang w:val="en-US" w:eastAsia="tr-TR"/>
        </w:rPr>
        <w:t>Extension Number:</w:t>
      </w:r>
      <w:r w:rsidR="00763069">
        <w:rPr>
          <w:rFonts w:eastAsia="Times New Roman" w:cs="Arial"/>
          <w:color w:val="000000" w:themeColor="text1"/>
          <w:sz w:val="20"/>
          <w:szCs w:val="20"/>
          <w:lang w:val="en-US" w:eastAsia="tr-TR"/>
        </w:rPr>
        <w:t xml:space="preserve"> 1083</w:t>
      </w:r>
    </w:p>
    <w:sectPr w:rsidR="00642C87" w:rsidRPr="007E68E8" w:rsidSect="00BB675D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4" w:rsidRDefault="00823D74" w:rsidP="00DE58FB">
      <w:pPr>
        <w:spacing w:after="0" w:line="240" w:lineRule="auto"/>
      </w:pPr>
      <w:r>
        <w:separator/>
      </w:r>
    </w:p>
  </w:endnote>
  <w:endnote w:type="continuationSeparator" w:id="0">
    <w:p w:rsidR="00823D74" w:rsidRDefault="00823D74" w:rsidP="00D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036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571A" w:rsidRPr="009A6CFE" w:rsidRDefault="00BB675D">
        <w:pPr>
          <w:pStyle w:val="AltBilgi"/>
          <w:jc w:val="right"/>
          <w:rPr>
            <w:sz w:val="20"/>
            <w:szCs w:val="20"/>
          </w:rPr>
        </w:pPr>
        <w:r w:rsidRPr="009A6CFE">
          <w:rPr>
            <w:b/>
            <w:bCs/>
            <w:sz w:val="20"/>
            <w:szCs w:val="20"/>
          </w:rPr>
          <w:fldChar w:fldCharType="begin"/>
        </w:r>
        <w:r w:rsidRPr="009A6CFE">
          <w:rPr>
            <w:b/>
            <w:bCs/>
            <w:sz w:val="20"/>
            <w:szCs w:val="20"/>
          </w:rPr>
          <w:instrText>PAGE  \* Arabic  \* MERGEFORMAT</w:instrText>
        </w:r>
        <w:r w:rsidRPr="009A6CFE">
          <w:rPr>
            <w:b/>
            <w:bCs/>
            <w:sz w:val="20"/>
            <w:szCs w:val="20"/>
          </w:rPr>
          <w:fldChar w:fldCharType="separate"/>
        </w:r>
        <w:r w:rsidR="00DA0471">
          <w:rPr>
            <w:b/>
            <w:bCs/>
            <w:noProof/>
            <w:sz w:val="20"/>
            <w:szCs w:val="20"/>
          </w:rPr>
          <w:t>3</w:t>
        </w:r>
        <w:r w:rsidRPr="009A6CFE">
          <w:rPr>
            <w:b/>
            <w:bCs/>
            <w:sz w:val="20"/>
            <w:szCs w:val="20"/>
          </w:rPr>
          <w:fldChar w:fldCharType="end"/>
        </w:r>
        <w:r w:rsidRPr="009A6CFE">
          <w:rPr>
            <w:sz w:val="20"/>
            <w:szCs w:val="20"/>
          </w:rPr>
          <w:t xml:space="preserve"> / </w:t>
        </w:r>
        <w:r w:rsidRPr="009A6CFE">
          <w:rPr>
            <w:b/>
            <w:bCs/>
            <w:sz w:val="20"/>
            <w:szCs w:val="20"/>
          </w:rPr>
          <w:fldChar w:fldCharType="begin"/>
        </w:r>
        <w:r w:rsidRPr="009A6CFE">
          <w:rPr>
            <w:b/>
            <w:bCs/>
            <w:sz w:val="20"/>
            <w:szCs w:val="20"/>
          </w:rPr>
          <w:instrText>NUMPAGES  \* Arabic  \* MERGEFORMAT</w:instrText>
        </w:r>
        <w:r w:rsidRPr="009A6CFE">
          <w:rPr>
            <w:b/>
            <w:bCs/>
            <w:sz w:val="20"/>
            <w:szCs w:val="20"/>
          </w:rPr>
          <w:fldChar w:fldCharType="separate"/>
        </w:r>
        <w:r w:rsidR="00DA0471">
          <w:rPr>
            <w:b/>
            <w:bCs/>
            <w:noProof/>
            <w:sz w:val="20"/>
            <w:szCs w:val="20"/>
          </w:rPr>
          <w:t>3</w:t>
        </w:r>
        <w:r w:rsidRPr="009A6CFE">
          <w:rPr>
            <w:b/>
            <w:bCs/>
            <w:sz w:val="20"/>
            <w:szCs w:val="20"/>
          </w:rPr>
          <w:fldChar w:fldCharType="end"/>
        </w:r>
      </w:p>
    </w:sdtContent>
  </w:sdt>
  <w:p w:rsidR="0095571A" w:rsidRDefault="00955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4" w:rsidRDefault="00823D74" w:rsidP="00DE58FB">
      <w:pPr>
        <w:spacing w:after="0" w:line="240" w:lineRule="auto"/>
      </w:pPr>
      <w:r>
        <w:separator/>
      </w:r>
    </w:p>
  </w:footnote>
  <w:footnote w:type="continuationSeparator" w:id="0">
    <w:p w:rsidR="00823D74" w:rsidRDefault="00823D74" w:rsidP="00DE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B" w:rsidRDefault="0063303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98425</wp:posOffset>
          </wp:positionV>
          <wp:extent cx="1371600" cy="281305"/>
          <wp:effectExtent l="0" t="0" r="0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-347345</wp:posOffset>
          </wp:positionV>
          <wp:extent cx="875473" cy="123825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şantaşı PNG (EN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473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B52"/>
    <w:multiLevelType w:val="hybridMultilevel"/>
    <w:tmpl w:val="D34A3B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17007"/>
    <w:multiLevelType w:val="hybridMultilevel"/>
    <w:tmpl w:val="EDEC3384"/>
    <w:lvl w:ilvl="0" w:tplc="CE96E1B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0E3D"/>
    <w:multiLevelType w:val="hybridMultilevel"/>
    <w:tmpl w:val="34725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8"/>
    <w:rsid w:val="00051FBB"/>
    <w:rsid w:val="000521E0"/>
    <w:rsid w:val="0007135D"/>
    <w:rsid w:val="00074000"/>
    <w:rsid w:val="000A6788"/>
    <w:rsid w:val="000B37D8"/>
    <w:rsid w:val="000C7300"/>
    <w:rsid w:val="000E532C"/>
    <w:rsid w:val="000F7ABB"/>
    <w:rsid w:val="00116C8C"/>
    <w:rsid w:val="00137A93"/>
    <w:rsid w:val="00165597"/>
    <w:rsid w:val="00182EA8"/>
    <w:rsid w:val="0020479D"/>
    <w:rsid w:val="002C310A"/>
    <w:rsid w:val="002C4993"/>
    <w:rsid w:val="002E674C"/>
    <w:rsid w:val="002E7DD7"/>
    <w:rsid w:val="002F3326"/>
    <w:rsid w:val="003216F9"/>
    <w:rsid w:val="003751DD"/>
    <w:rsid w:val="00390666"/>
    <w:rsid w:val="003D3BC4"/>
    <w:rsid w:val="00487427"/>
    <w:rsid w:val="004B508B"/>
    <w:rsid w:val="005527E6"/>
    <w:rsid w:val="00566AFB"/>
    <w:rsid w:val="00576729"/>
    <w:rsid w:val="005D1DA3"/>
    <w:rsid w:val="005D4195"/>
    <w:rsid w:val="005F5F17"/>
    <w:rsid w:val="00632584"/>
    <w:rsid w:val="0063303C"/>
    <w:rsid w:val="00642C87"/>
    <w:rsid w:val="00642DCA"/>
    <w:rsid w:val="00680544"/>
    <w:rsid w:val="00682017"/>
    <w:rsid w:val="0070033E"/>
    <w:rsid w:val="00763069"/>
    <w:rsid w:val="007937B0"/>
    <w:rsid w:val="007D110A"/>
    <w:rsid w:val="007E68E8"/>
    <w:rsid w:val="0081013B"/>
    <w:rsid w:val="00823D74"/>
    <w:rsid w:val="00847DAA"/>
    <w:rsid w:val="0095571A"/>
    <w:rsid w:val="00990FBE"/>
    <w:rsid w:val="009A6CFE"/>
    <w:rsid w:val="009B59DA"/>
    <w:rsid w:val="009C3245"/>
    <w:rsid w:val="00A42E5A"/>
    <w:rsid w:val="00A8411A"/>
    <w:rsid w:val="00A94D06"/>
    <w:rsid w:val="00AA2C00"/>
    <w:rsid w:val="00AC551D"/>
    <w:rsid w:val="00AD1C63"/>
    <w:rsid w:val="00B015D2"/>
    <w:rsid w:val="00B03FD3"/>
    <w:rsid w:val="00BB675D"/>
    <w:rsid w:val="00BC5658"/>
    <w:rsid w:val="00C1616E"/>
    <w:rsid w:val="00C5123C"/>
    <w:rsid w:val="00C52E77"/>
    <w:rsid w:val="00D01D94"/>
    <w:rsid w:val="00D27817"/>
    <w:rsid w:val="00D739AF"/>
    <w:rsid w:val="00DA0471"/>
    <w:rsid w:val="00DB6211"/>
    <w:rsid w:val="00DE58FB"/>
    <w:rsid w:val="00E104EA"/>
    <w:rsid w:val="00E675EE"/>
    <w:rsid w:val="00EC6AA9"/>
    <w:rsid w:val="00EE4C02"/>
    <w:rsid w:val="00F5782C"/>
    <w:rsid w:val="00FB20F7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A1E88-9FBE-4874-9BAF-9FD0A59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0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015D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015D2"/>
    <w:rPr>
      <w:b/>
      <w:bCs/>
    </w:rPr>
  </w:style>
  <w:style w:type="character" w:customStyle="1" w:styleId="apple-converted-space">
    <w:name w:val="apple-converted-space"/>
    <w:basedOn w:val="VarsaylanParagrafYazTipi"/>
    <w:rsid w:val="00B015D2"/>
  </w:style>
  <w:style w:type="paragraph" w:styleId="ListeParagraf">
    <w:name w:val="List Paragraph"/>
    <w:basedOn w:val="Normal"/>
    <w:uiPriority w:val="34"/>
    <w:qFormat/>
    <w:rsid w:val="00B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015D2"/>
    <w:rPr>
      <w:color w:val="0000FF"/>
      <w:u w:val="single"/>
    </w:rPr>
  </w:style>
  <w:style w:type="table" w:styleId="TabloKlavuzu">
    <w:name w:val="Table Grid"/>
    <w:basedOn w:val="NormalTablo"/>
    <w:uiPriority w:val="39"/>
    <w:rsid w:val="0018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8FB"/>
  </w:style>
  <w:style w:type="paragraph" w:styleId="AltBilgi">
    <w:name w:val="footer"/>
    <w:basedOn w:val="Normal"/>
    <w:link w:val="AltBilgiChar"/>
    <w:uiPriority w:val="99"/>
    <w:unhideWhenUsed/>
    <w:rsid w:val="00D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can.karka@nisantas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Zey</cp:lastModifiedBy>
  <cp:revision>16</cp:revision>
  <cp:lastPrinted>2017-12-04T06:14:00Z</cp:lastPrinted>
  <dcterms:created xsi:type="dcterms:W3CDTF">2019-12-26T11:59:00Z</dcterms:created>
  <dcterms:modified xsi:type="dcterms:W3CDTF">2020-03-06T12:49:00Z</dcterms:modified>
</cp:coreProperties>
</file>